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9D" w:rsidRDefault="00A534D0" w:rsidP="00A534D0">
      <w:pPr>
        <w:tabs>
          <w:tab w:val="left" w:pos="567"/>
          <w:tab w:val="left" w:pos="6237"/>
        </w:tabs>
        <w:ind w:firstLine="2977"/>
        <w:rPr>
          <w:b/>
          <w:i/>
          <w:iCs/>
          <w:sz w:val="16"/>
        </w:rPr>
      </w:pPr>
      <w:r>
        <w:rPr>
          <w:b/>
          <w:i/>
          <w:iCs/>
          <w:sz w:val="16"/>
        </w:rPr>
        <w:t>Povodí Labe, státní podnik</w:t>
      </w:r>
      <w:r>
        <w:rPr>
          <w:b/>
          <w:i/>
          <w:iCs/>
          <w:sz w:val="16"/>
        </w:rPr>
        <w:tab/>
      </w:r>
      <w:hyperlink r:id="rId7" w:history="1">
        <w:r>
          <w:rPr>
            <w:rStyle w:val="Hypertextovodkaz"/>
            <w:b/>
            <w:i/>
            <w:iCs/>
            <w:sz w:val="16"/>
          </w:rPr>
          <w:t>www.pla.cz</w:t>
        </w:r>
      </w:hyperlink>
    </w:p>
    <w:p w:rsidR="00A534D0" w:rsidRDefault="0030088C" w:rsidP="00A534D0">
      <w:pPr>
        <w:tabs>
          <w:tab w:val="left" w:pos="2835"/>
          <w:tab w:val="left" w:pos="6237"/>
        </w:tabs>
        <w:ind w:firstLine="2977"/>
        <w:rPr>
          <w:i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.75pt;margin-top:4.35pt;width:77.2pt;height:55.7pt;z-index:251657728">
            <v:imagedata r:id="rId8" o:title=""/>
          </v:shape>
        </w:pict>
      </w:r>
      <w:r w:rsidR="00A534D0" w:rsidRPr="00A534D0">
        <w:rPr>
          <w:i/>
          <w:sz w:val="16"/>
          <w:szCs w:val="16"/>
        </w:rPr>
        <w:t>Víta Nejedlého 951</w:t>
      </w:r>
    </w:p>
    <w:p w:rsidR="00A534D0" w:rsidRDefault="00A534D0" w:rsidP="00A534D0">
      <w:pPr>
        <w:tabs>
          <w:tab w:val="left" w:pos="2835"/>
          <w:tab w:val="left" w:pos="6237"/>
        </w:tabs>
        <w:ind w:firstLine="2977"/>
        <w:rPr>
          <w:b/>
          <w:i/>
          <w:iCs/>
          <w:sz w:val="16"/>
        </w:rPr>
      </w:pPr>
      <w:r>
        <w:rPr>
          <w:b/>
          <w:i/>
          <w:iCs/>
          <w:sz w:val="16"/>
        </w:rPr>
        <w:t>500 03 Hradec Králové</w:t>
      </w:r>
    </w:p>
    <w:p w:rsidR="00A534D0" w:rsidRDefault="00A534D0" w:rsidP="00A534D0">
      <w:pPr>
        <w:tabs>
          <w:tab w:val="left" w:pos="2835"/>
          <w:tab w:val="left" w:pos="6237"/>
        </w:tabs>
        <w:ind w:firstLine="2977"/>
        <w:rPr>
          <w:b/>
          <w:i/>
          <w:iCs/>
          <w:sz w:val="16"/>
        </w:rPr>
      </w:pPr>
    </w:p>
    <w:p w:rsidR="00A534D0" w:rsidRDefault="00A534D0" w:rsidP="00A534D0">
      <w:pPr>
        <w:tabs>
          <w:tab w:val="left" w:pos="2835"/>
          <w:tab w:val="left" w:pos="6237"/>
        </w:tabs>
        <w:ind w:firstLine="2977"/>
        <w:rPr>
          <w:b/>
          <w:i/>
          <w:iCs/>
          <w:sz w:val="16"/>
        </w:rPr>
      </w:pPr>
      <w:r>
        <w:rPr>
          <w:b/>
          <w:i/>
          <w:iCs/>
          <w:sz w:val="16"/>
        </w:rPr>
        <w:t>Vodohospodářský dispečink</w:t>
      </w:r>
      <w:r>
        <w:rPr>
          <w:b/>
          <w:i/>
          <w:iCs/>
          <w:sz w:val="16"/>
        </w:rPr>
        <w:tab/>
      </w:r>
      <w:hyperlink r:id="rId9" w:history="1">
        <w:r>
          <w:rPr>
            <w:rStyle w:val="Hypertextovodkaz"/>
            <w:b/>
            <w:i/>
            <w:iCs/>
            <w:sz w:val="16"/>
          </w:rPr>
          <w:t>vhd@pla.cz</w:t>
        </w:r>
      </w:hyperlink>
    </w:p>
    <w:p w:rsidR="00A534D0" w:rsidRDefault="00A534D0" w:rsidP="00A534D0">
      <w:pPr>
        <w:tabs>
          <w:tab w:val="left" w:pos="3402"/>
        </w:tabs>
        <w:ind w:firstLine="2977"/>
        <w:rPr>
          <w:b/>
          <w:i/>
          <w:iCs/>
          <w:sz w:val="16"/>
        </w:rPr>
      </w:pPr>
      <w:r>
        <w:rPr>
          <w:b/>
          <w:i/>
          <w:iCs/>
          <w:sz w:val="16"/>
        </w:rPr>
        <w:t>Tel.:</w:t>
      </w:r>
      <w:r>
        <w:rPr>
          <w:b/>
          <w:i/>
          <w:iCs/>
          <w:sz w:val="16"/>
        </w:rPr>
        <w:tab/>
        <w:t>495 088 730, 495 088 720</w:t>
      </w:r>
    </w:p>
    <w:p w:rsidR="00A534D0" w:rsidRDefault="00A534D0" w:rsidP="00A534D0">
      <w:pPr>
        <w:tabs>
          <w:tab w:val="left" w:pos="3402"/>
        </w:tabs>
        <w:ind w:firstLine="2977"/>
        <w:rPr>
          <w:i/>
          <w:sz w:val="16"/>
        </w:rPr>
      </w:pPr>
      <w:r w:rsidRPr="00A534D0">
        <w:rPr>
          <w:i/>
          <w:sz w:val="16"/>
        </w:rPr>
        <w:t xml:space="preserve">Fax: </w:t>
      </w:r>
      <w:r w:rsidRPr="00A534D0">
        <w:rPr>
          <w:i/>
          <w:sz w:val="16"/>
        </w:rPr>
        <w:tab/>
        <w:t>495 088</w:t>
      </w:r>
      <w:r>
        <w:rPr>
          <w:i/>
          <w:sz w:val="16"/>
        </w:rPr>
        <w:t> </w:t>
      </w:r>
      <w:r w:rsidRPr="00A534D0">
        <w:rPr>
          <w:i/>
          <w:sz w:val="16"/>
        </w:rPr>
        <w:t>733</w:t>
      </w:r>
    </w:p>
    <w:p w:rsidR="00A534D0" w:rsidRDefault="00A534D0" w:rsidP="00A534D0">
      <w:pPr>
        <w:tabs>
          <w:tab w:val="left" w:pos="3402"/>
        </w:tabs>
        <w:ind w:firstLine="2977"/>
        <w:rPr>
          <w:i/>
          <w:sz w:val="16"/>
        </w:rPr>
      </w:pPr>
      <w:r w:rsidRPr="00A534D0">
        <w:rPr>
          <w:i/>
          <w:sz w:val="16"/>
        </w:rPr>
        <w:t>GSM:</w:t>
      </w:r>
      <w:r w:rsidRPr="00A534D0">
        <w:rPr>
          <w:i/>
          <w:sz w:val="16"/>
        </w:rPr>
        <w:tab/>
        <w:t>606 643 43</w:t>
      </w:r>
    </w:p>
    <w:p w:rsidR="00A534D0" w:rsidRDefault="00A534D0" w:rsidP="00A534D0">
      <w:pPr>
        <w:tabs>
          <w:tab w:val="left" w:pos="3402"/>
        </w:tabs>
        <w:ind w:firstLine="2977"/>
        <w:rPr>
          <w:i/>
          <w:sz w:val="16"/>
        </w:rPr>
      </w:pPr>
      <w:r>
        <w:rPr>
          <w:b/>
          <w:i/>
          <w:iCs/>
          <w:sz w:val="16"/>
        </w:rPr>
        <w:t>GSM:</w:t>
      </w:r>
      <w:r>
        <w:rPr>
          <w:b/>
          <w:i/>
          <w:iCs/>
          <w:sz w:val="16"/>
        </w:rPr>
        <w:tab/>
        <w:t>724 242 083 (vedoucí VHD</w:t>
      </w:r>
      <w:r>
        <w:rPr>
          <w:i/>
          <w:sz w:val="16"/>
        </w:rPr>
        <w:t>)</w:t>
      </w:r>
    </w:p>
    <w:p w:rsidR="00A534D0" w:rsidRDefault="00A534D0" w:rsidP="00A534D0">
      <w:pPr>
        <w:tabs>
          <w:tab w:val="left" w:pos="3402"/>
        </w:tabs>
        <w:ind w:firstLine="2977"/>
        <w:rPr>
          <w:i/>
          <w:sz w:val="16"/>
          <w:szCs w:val="16"/>
        </w:rPr>
      </w:pPr>
    </w:p>
    <w:p w:rsidR="00A534D0" w:rsidRDefault="00A534D0" w:rsidP="00B40977">
      <w:pPr>
        <w:tabs>
          <w:tab w:val="left" w:pos="3402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</w:t>
      </w:r>
    </w:p>
    <w:p w:rsidR="00A534D0" w:rsidRDefault="00A534D0" w:rsidP="00A534D0">
      <w:pPr>
        <w:tabs>
          <w:tab w:val="left" w:pos="3402"/>
        </w:tabs>
        <w:ind w:firstLine="709"/>
        <w:rPr>
          <w:sz w:val="16"/>
          <w:szCs w:val="16"/>
        </w:rPr>
      </w:pPr>
    </w:p>
    <w:p w:rsidR="00A534D0" w:rsidRPr="00A534D0" w:rsidRDefault="00A534D0" w:rsidP="00B40977">
      <w:pPr>
        <w:pStyle w:val="Nadpis1"/>
        <w:jc w:val="center"/>
        <w:rPr>
          <w:b/>
        </w:rPr>
      </w:pPr>
      <w:r w:rsidRPr="00A534D0">
        <w:rPr>
          <w:b/>
        </w:rPr>
        <w:t xml:space="preserve">Informační zpráva č. </w:t>
      </w:r>
      <w:r w:rsidR="008B4537">
        <w:rPr>
          <w:b/>
        </w:rPr>
        <w:t>1</w:t>
      </w:r>
      <w:r w:rsidRPr="00A534D0">
        <w:rPr>
          <w:b/>
        </w:rPr>
        <w:t xml:space="preserve"> / </w:t>
      </w:r>
      <w:r w:rsidR="008B4537">
        <w:rPr>
          <w:b/>
        </w:rPr>
        <w:t xml:space="preserve"> září</w:t>
      </w:r>
      <w:r w:rsidR="006B4C67">
        <w:rPr>
          <w:b/>
        </w:rPr>
        <w:t xml:space="preserve"> 2024</w:t>
      </w:r>
    </w:p>
    <w:p w:rsidR="00A534D0" w:rsidRPr="00A534D0" w:rsidRDefault="00A534D0" w:rsidP="00B40977">
      <w:pPr>
        <w:ind w:left="567"/>
        <w:jc w:val="center"/>
        <w:rPr>
          <w:b/>
          <w:sz w:val="24"/>
        </w:rPr>
      </w:pPr>
    </w:p>
    <w:p w:rsidR="00A534D0" w:rsidRPr="00A534D0" w:rsidRDefault="00A534D0" w:rsidP="00B40977">
      <w:pPr>
        <w:pStyle w:val="Zkladntext2"/>
        <w:ind w:left="567"/>
        <w:jc w:val="center"/>
        <w:rPr>
          <w:sz w:val="24"/>
        </w:rPr>
      </w:pPr>
      <w:r w:rsidRPr="00A534D0">
        <w:rPr>
          <w:sz w:val="24"/>
        </w:rPr>
        <w:t>o mimořádných vodních stavech a povodňové situaci na vodních tocích a vodních dílech</w:t>
      </w:r>
    </w:p>
    <w:p w:rsidR="00A534D0" w:rsidRPr="00A534D0" w:rsidRDefault="00A534D0" w:rsidP="00B40977">
      <w:pPr>
        <w:tabs>
          <w:tab w:val="left" w:pos="3402"/>
        </w:tabs>
        <w:ind w:left="567"/>
        <w:jc w:val="center"/>
        <w:rPr>
          <w:b/>
          <w:sz w:val="16"/>
          <w:szCs w:val="16"/>
        </w:rPr>
      </w:pPr>
      <w:r w:rsidRPr="00A534D0">
        <w:rPr>
          <w:b/>
          <w:sz w:val="24"/>
        </w:rPr>
        <w:t>ve správě státního podniku Povodí Labe, státní podnik</w:t>
      </w:r>
    </w:p>
    <w:p w:rsidR="00A534D0" w:rsidRDefault="00A534D0" w:rsidP="00B40977">
      <w:pPr>
        <w:tabs>
          <w:tab w:val="left" w:pos="284"/>
          <w:tab w:val="left" w:pos="5670"/>
        </w:tabs>
        <w:rPr>
          <w:b/>
          <w:sz w:val="22"/>
          <w:szCs w:val="22"/>
        </w:rPr>
      </w:pPr>
    </w:p>
    <w:p w:rsidR="000E2BED" w:rsidRDefault="000E2BED" w:rsidP="00B40977">
      <w:pPr>
        <w:tabs>
          <w:tab w:val="left" w:pos="284"/>
          <w:tab w:val="left" w:pos="5670"/>
        </w:tabs>
        <w:rPr>
          <w:b/>
          <w:sz w:val="22"/>
          <w:szCs w:val="22"/>
        </w:rPr>
      </w:pPr>
    </w:p>
    <w:p w:rsidR="000E2BED" w:rsidRDefault="000E2BED" w:rsidP="00B40977">
      <w:pPr>
        <w:tabs>
          <w:tab w:val="left" w:pos="284"/>
          <w:tab w:val="left" w:pos="5670"/>
        </w:tabs>
        <w:rPr>
          <w:b/>
          <w:sz w:val="22"/>
          <w:szCs w:val="22"/>
        </w:rPr>
      </w:pPr>
    </w:p>
    <w:p w:rsidR="00B40977" w:rsidRPr="000E2BED" w:rsidRDefault="00B40977" w:rsidP="00EF5A63">
      <w:pPr>
        <w:numPr>
          <w:ilvl w:val="0"/>
          <w:numId w:val="1"/>
        </w:numPr>
        <w:tabs>
          <w:tab w:val="clear" w:pos="720"/>
          <w:tab w:val="left" w:pos="142"/>
          <w:tab w:val="left" w:pos="5670"/>
        </w:tabs>
        <w:ind w:left="142" w:right="-1" w:hanging="284"/>
        <w:jc w:val="both"/>
        <w:rPr>
          <w:bCs/>
          <w:i/>
          <w:iCs/>
          <w:sz w:val="24"/>
        </w:rPr>
      </w:pPr>
      <w:r>
        <w:rPr>
          <w:b/>
          <w:sz w:val="22"/>
          <w:szCs w:val="22"/>
        </w:rPr>
        <w:t xml:space="preserve">Zpráva vydaná dne: </w:t>
      </w:r>
      <w:r w:rsidR="008B4537" w:rsidRPr="000E2BED">
        <w:rPr>
          <w:i/>
          <w:sz w:val="22"/>
          <w:szCs w:val="22"/>
        </w:rPr>
        <w:t>13</w:t>
      </w:r>
      <w:r w:rsidR="005B4C80">
        <w:rPr>
          <w:i/>
          <w:sz w:val="22"/>
          <w:szCs w:val="22"/>
        </w:rPr>
        <w:t>.</w:t>
      </w:r>
      <w:r w:rsidR="008B4537">
        <w:rPr>
          <w:i/>
          <w:sz w:val="22"/>
          <w:szCs w:val="22"/>
        </w:rPr>
        <w:t>9</w:t>
      </w:r>
      <w:r w:rsidR="005B4C80">
        <w:rPr>
          <w:i/>
          <w:sz w:val="22"/>
          <w:szCs w:val="22"/>
        </w:rPr>
        <w:t>.202</w:t>
      </w:r>
      <w:r w:rsidR="006B4C67">
        <w:rPr>
          <w:i/>
          <w:sz w:val="22"/>
          <w:szCs w:val="22"/>
        </w:rPr>
        <w:t>4</w:t>
      </w:r>
      <w:r w:rsidR="008E65A6">
        <w:rPr>
          <w:i/>
          <w:sz w:val="22"/>
          <w:szCs w:val="22"/>
        </w:rPr>
        <w:t xml:space="preserve"> v</w:t>
      </w:r>
      <w:r w:rsidR="0030088C">
        <w:rPr>
          <w:i/>
          <w:sz w:val="22"/>
          <w:szCs w:val="22"/>
        </w:rPr>
        <w:t>e</w:t>
      </w:r>
      <w:r w:rsidR="005B4C80">
        <w:rPr>
          <w:i/>
          <w:sz w:val="22"/>
          <w:szCs w:val="22"/>
        </w:rPr>
        <w:t xml:space="preserve"> </w:t>
      </w:r>
      <w:r w:rsidR="008B4537">
        <w:rPr>
          <w:i/>
          <w:sz w:val="22"/>
          <w:szCs w:val="22"/>
        </w:rPr>
        <w:t>1</w:t>
      </w:r>
      <w:r w:rsidR="0030088C">
        <w:rPr>
          <w:i/>
          <w:sz w:val="22"/>
          <w:szCs w:val="22"/>
        </w:rPr>
        <w:t>2</w:t>
      </w:r>
      <w:r w:rsidR="005B4C80">
        <w:rPr>
          <w:i/>
          <w:sz w:val="22"/>
          <w:szCs w:val="22"/>
        </w:rPr>
        <w:t>:</w:t>
      </w:r>
      <w:r w:rsidR="008B4537">
        <w:rPr>
          <w:i/>
          <w:sz w:val="22"/>
          <w:szCs w:val="22"/>
        </w:rPr>
        <w:t>0</w:t>
      </w:r>
      <w:r w:rsidR="00F35197">
        <w:rPr>
          <w:i/>
          <w:sz w:val="22"/>
          <w:szCs w:val="22"/>
        </w:rPr>
        <w:t>0</w:t>
      </w:r>
      <w:r w:rsidR="005B4C80">
        <w:rPr>
          <w:i/>
          <w:sz w:val="22"/>
          <w:szCs w:val="22"/>
        </w:rPr>
        <w:t xml:space="preserve"> (údaje k </w:t>
      </w:r>
      <w:r w:rsidR="008B4537">
        <w:rPr>
          <w:i/>
          <w:sz w:val="22"/>
          <w:szCs w:val="22"/>
        </w:rPr>
        <w:t>1</w:t>
      </w:r>
      <w:r w:rsidR="0030088C">
        <w:rPr>
          <w:i/>
          <w:sz w:val="22"/>
          <w:szCs w:val="22"/>
        </w:rPr>
        <w:t>1</w:t>
      </w:r>
      <w:bookmarkStart w:id="0" w:name="_GoBack"/>
      <w:bookmarkEnd w:id="0"/>
      <w:r w:rsidR="005B4C80">
        <w:rPr>
          <w:i/>
          <w:sz w:val="22"/>
          <w:szCs w:val="22"/>
        </w:rPr>
        <w:t>:00</w:t>
      </w:r>
      <w:r w:rsidR="008B4537">
        <w:rPr>
          <w:i/>
          <w:sz w:val="22"/>
          <w:szCs w:val="22"/>
        </w:rPr>
        <w:t>)</w:t>
      </w:r>
    </w:p>
    <w:p w:rsidR="000E2BED" w:rsidRDefault="000E2BED" w:rsidP="000E2BED">
      <w:pPr>
        <w:tabs>
          <w:tab w:val="left" w:pos="142"/>
          <w:tab w:val="left" w:pos="5670"/>
        </w:tabs>
        <w:ind w:left="142" w:right="-1"/>
        <w:jc w:val="both"/>
        <w:rPr>
          <w:bCs/>
          <w:i/>
          <w:iCs/>
          <w:sz w:val="24"/>
        </w:rPr>
      </w:pPr>
    </w:p>
    <w:p w:rsidR="00B40977" w:rsidRDefault="00B40977" w:rsidP="00EF5A63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</w:p>
    <w:p w:rsidR="00B40977" w:rsidRPr="001D5619" w:rsidRDefault="001B3EC6" w:rsidP="00B3245F">
      <w:pPr>
        <w:numPr>
          <w:ilvl w:val="0"/>
          <w:numId w:val="1"/>
        </w:numPr>
        <w:tabs>
          <w:tab w:val="clear" w:pos="720"/>
          <w:tab w:val="left" w:pos="142"/>
          <w:tab w:val="left" w:pos="5670"/>
        </w:tabs>
        <w:spacing w:after="60"/>
        <w:ind w:left="142" w:right="-567" w:hanging="284"/>
        <w:jc w:val="both"/>
        <w:rPr>
          <w:b/>
          <w:sz w:val="22"/>
          <w:szCs w:val="22"/>
        </w:rPr>
      </w:pPr>
      <w:r w:rsidRPr="001D5619">
        <w:rPr>
          <w:b/>
          <w:sz w:val="22"/>
          <w:szCs w:val="22"/>
        </w:rPr>
        <w:t>Meteorologická a h</w:t>
      </w:r>
      <w:r w:rsidR="00B40977" w:rsidRPr="001D5619">
        <w:rPr>
          <w:b/>
          <w:sz w:val="22"/>
          <w:szCs w:val="22"/>
        </w:rPr>
        <w:t>ydrologická situace:</w:t>
      </w:r>
    </w:p>
    <w:p w:rsidR="007437D2" w:rsidRPr="00000566" w:rsidRDefault="008B4537" w:rsidP="008B4537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  <w:r>
        <w:rPr>
          <w:sz w:val="22"/>
          <w:szCs w:val="22"/>
        </w:rPr>
        <w:t>Území Povodí Labe, státní podnik je aktuálně zasaženo setrvalými srážkami,</w:t>
      </w:r>
      <w:r w:rsidR="00A52091">
        <w:rPr>
          <w:sz w:val="22"/>
          <w:szCs w:val="22"/>
        </w:rPr>
        <w:t xml:space="preserve"> srážkové úhrny </w:t>
      </w:r>
      <w:r>
        <w:rPr>
          <w:sz w:val="22"/>
          <w:szCs w:val="22"/>
        </w:rPr>
        <w:t>se za posle</w:t>
      </w:r>
      <w:r w:rsidR="000E2BED">
        <w:rPr>
          <w:sz w:val="22"/>
          <w:szCs w:val="22"/>
        </w:rPr>
        <w:t>d</w:t>
      </w:r>
      <w:r>
        <w:rPr>
          <w:sz w:val="22"/>
          <w:szCs w:val="22"/>
        </w:rPr>
        <w:t>ních 24 pohybovaly na většině území od</w:t>
      </w:r>
      <w:r w:rsidR="00A52091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A52091">
        <w:rPr>
          <w:sz w:val="22"/>
          <w:szCs w:val="22"/>
        </w:rPr>
        <w:t xml:space="preserve"> do </w:t>
      </w:r>
      <w:r>
        <w:rPr>
          <w:sz w:val="22"/>
          <w:szCs w:val="22"/>
        </w:rPr>
        <w:t>35</w:t>
      </w:r>
      <w:r w:rsidR="00A52091">
        <w:rPr>
          <w:sz w:val="22"/>
          <w:szCs w:val="22"/>
        </w:rPr>
        <w:t xml:space="preserve"> mm</w:t>
      </w:r>
      <w:r>
        <w:rPr>
          <w:sz w:val="22"/>
          <w:szCs w:val="22"/>
        </w:rPr>
        <w:t xml:space="preserve">. Vyšší srážkové úhrny byly zaznamenány v povodích Orlice, Loučné, Novohradky a Chrudimky a to od 30 do </w:t>
      </w:r>
      <w:r w:rsidRPr="00000566">
        <w:rPr>
          <w:sz w:val="22"/>
          <w:szCs w:val="22"/>
        </w:rPr>
        <w:t xml:space="preserve">80 mm. Tato srážková činnost již </w:t>
      </w:r>
      <w:r w:rsidR="00B4767E">
        <w:rPr>
          <w:sz w:val="22"/>
          <w:szCs w:val="22"/>
        </w:rPr>
        <w:t>částečně</w:t>
      </w:r>
      <w:r w:rsidRPr="00000566">
        <w:rPr>
          <w:sz w:val="22"/>
          <w:szCs w:val="22"/>
        </w:rPr>
        <w:t xml:space="preserve"> nasytila povodí </w:t>
      </w:r>
      <w:r w:rsidR="007437D2" w:rsidRPr="00000566">
        <w:rPr>
          <w:sz w:val="22"/>
          <w:szCs w:val="22"/>
        </w:rPr>
        <w:t xml:space="preserve">a vodní stavy a průtoky začínají pomalu stoupat. </w:t>
      </w:r>
    </w:p>
    <w:p w:rsidR="007437D2" w:rsidRDefault="007437D2" w:rsidP="008B4537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</w:p>
    <w:p w:rsidR="000E2BED" w:rsidRPr="00000566" w:rsidRDefault="000E2BED" w:rsidP="008B4537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</w:p>
    <w:p w:rsidR="00B40977" w:rsidRPr="00000566" w:rsidRDefault="00B40977" w:rsidP="00B3245F">
      <w:pPr>
        <w:numPr>
          <w:ilvl w:val="0"/>
          <w:numId w:val="1"/>
        </w:numPr>
        <w:tabs>
          <w:tab w:val="clear" w:pos="720"/>
          <w:tab w:val="left" w:pos="142"/>
          <w:tab w:val="left" w:pos="5670"/>
        </w:tabs>
        <w:ind w:left="142" w:right="-568" w:hanging="284"/>
        <w:jc w:val="both"/>
        <w:rPr>
          <w:b/>
          <w:sz w:val="22"/>
          <w:szCs w:val="22"/>
        </w:rPr>
      </w:pPr>
      <w:r w:rsidRPr="00000566">
        <w:rPr>
          <w:b/>
          <w:sz w:val="22"/>
          <w:szCs w:val="22"/>
        </w:rPr>
        <w:t>Vodní tok</w:t>
      </w:r>
      <w:r w:rsidR="005313A9" w:rsidRPr="00000566">
        <w:rPr>
          <w:b/>
          <w:sz w:val="22"/>
          <w:szCs w:val="22"/>
        </w:rPr>
        <w:t>y</w:t>
      </w:r>
      <w:r w:rsidRPr="00000566">
        <w:rPr>
          <w:b/>
          <w:sz w:val="22"/>
          <w:szCs w:val="22"/>
        </w:rPr>
        <w:t xml:space="preserve"> v hlavních profilech:</w:t>
      </w:r>
    </w:p>
    <w:p w:rsidR="00A730D9" w:rsidRPr="00000566" w:rsidRDefault="00A730D9" w:rsidP="00A730D9"/>
    <w:p w:rsidR="007437D2" w:rsidRPr="00000566" w:rsidRDefault="007437D2" w:rsidP="007437D2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  <w:r w:rsidRPr="00000566">
        <w:rPr>
          <w:sz w:val="22"/>
          <w:szCs w:val="22"/>
        </w:rPr>
        <w:t xml:space="preserve">Aktuálně dosažený I. SPA v profilu Třebovka – Třebovice a II. SPA v profilu Chrudimka – </w:t>
      </w:r>
      <w:proofErr w:type="spellStart"/>
      <w:r w:rsidRPr="00000566">
        <w:rPr>
          <w:sz w:val="22"/>
          <w:szCs w:val="22"/>
        </w:rPr>
        <w:t>Padrty</w:t>
      </w:r>
      <w:proofErr w:type="spellEnd"/>
      <w:r w:rsidRPr="00000566">
        <w:rPr>
          <w:sz w:val="22"/>
          <w:szCs w:val="22"/>
        </w:rPr>
        <w:t xml:space="preserve"> jsou způsobené zvýšením odtoku z VD Hvězda a VD Seč z důvodu </w:t>
      </w:r>
      <w:proofErr w:type="spellStart"/>
      <w:r w:rsidRPr="00000566">
        <w:rPr>
          <w:sz w:val="22"/>
          <w:szCs w:val="22"/>
        </w:rPr>
        <w:t>předvypouštění</w:t>
      </w:r>
      <w:proofErr w:type="spellEnd"/>
      <w:r w:rsidRPr="00000566">
        <w:rPr>
          <w:sz w:val="22"/>
          <w:szCs w:val="22"/>
        </w:rPr>
        <w:t xml:space="preserve"> těchto VD. </w:t>
      </w:r>
    </w:p>
    <w:p w:rsidR="001A07B3" w:rsidRDefault="001A07B3" w:rsidP="006F4DC0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</w:p>
    <w:p w:rsidR="000E2BED" w:rsidRPr="00000566" w:rsidRDefault="000E2BED" w:rsidP="006F4DC0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</w:p>
    <w:p w:rsidR="001A07B3" w:rsidRDefault="00B3245F" w:rsidP="00B3245F">
      <w:pPr>
        <w:tabs>
          <w:tab w:val="left" w:pos="142"/>
          <w:tab w:val="left" w:pos="5670"/>
        </w:tabs>
        <w:ind w:left="142" w:right="-568" w:hanging="284"/>
        <w:jc w:val="both"/>
        <w:rPr>
          <w:b/>
          <w:sz w:val="22"/>
          <w:szCs w:val="22"/>
        </w:rPr>
      </w:pPr>
      <w:r w:rsidRPr="00000566">
        <w:rPr>
          <w:b/>
          <w:sz w:val="22"/>
          <w:szCs w:val="22"/>
        </w:rPr>
        <w:t>4)</w:t>
      </w:r>
      <w:r w:rsidRPr="00000566">
        <w:rPr>
          <w:b/>
          <w:sz w:val="22"/>
          <w:szCs w:val="22"/>
        </w:rPr>
        <w:tab/>
        <w:t>Vybrané vodní nádrže:</w:t>
      </w:r>
    </w:p>
    <w:p w:rsidR="000E2BED" w:rsidRDefault="000E2BED" w:rsidP="00B3245F">
      <w:pPr>
        <w:tabs>
          <w:tab w:val="left" w:pos="142"/>
          <w:tab w:val="left" w:pos="5670"/>
        </w:tabs>
        <w:ind w:left="142" w:right="-568" w:hanging="284"/>
        <w:jc w:val="both"/>
        <w:rPr>
          <w:b/>
          <w:sz w:val="22"/>
          <w:szCs w:val="2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709"/>
        <w:gridCol w:w="709"/>
        <w:gridCol w:w="624"/>
        <w:gridCol w:w="652"/>
        <w:gridCol w:w="567"/>
        <w:gridCol w:w="708"/>
        <w:gridCol w:w="567"/>
        <w:gridCol w:w="709"/>
        <w:gridCol w:w="567"/>
        <w:gridCol w:w="567"/>
        <w:gridCol w:w="567"/>
        <w:gridCol w:w="1134"/>
      </w:tblGrid>
      <w:tr w:rsidR="000E2BED" w:rsidRPr="004F74B0" w:rsidTr="005C0F1D">
        <w:trPr>
          <w:cantSplit/>
          <w:trHeight w:val="488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0E2BED" w:rsidRPr="00AE5D5D" w:rsidRDefault="000E2BED" w:rsidP="005C0F1D">
            <w:pPr>
              <w:jc w:val="center"/>
              <w:rPr>
                <w:sz w:val="16"/>
                <w:szCs w:val="16"/>
              </w:rPr>
            </w:pPr>
            <w:r w:rsidRPr="00AE5D5D">
              <w:rPr>
                <w:b/>
                <w:sz w:val="16"/>
                <w:szCs w:val="16"/>
              </w:rPr>
              <w:t>Vodní tok</w:t>
            </w:r>
            <w:r w:rsidRPr="00AE5D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AE5D5D" w:rsidRDefault="000E2BED" w:rsidP="005C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Název VD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AE5D5D" w:rsidRDefault="000E2BED" w:rsidP="005C0F1D">
            <w:pPr>
              <w:jc w:val="center"/>
              <w:rPr>
                <w:b/>
                <w:sz w:val="16"/>
                <w:szCs w:val="16"/>
              </w:rPr>
            </w:pPr>
            <w:r w:rsidRPr="00AE5D5D">
              <w:rPr>
                <w:b/>
                <w:sz w:val="16"/>
                <w:szCs w:val="16"/>
              </w:rPr>
              <w:t>Kóta hladiny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AE5D5D" w:rsidRDefault="000E2BED" w:rsidP="005C0F1D">
            <w:pPr>
              <w:jc w:val="center"/>
              <w:rPr>
                <w:b/>
                <w:sz w:val="16"/>
                <w:szCs w:val="16"/>
              </w:rPr>
            </w:pPr>
            <w:r w:rsidRPr="00AE5D5D">
              <w:rPr>
                <w:b/>
                <w:sz w:val="16"/>
                <w:szCs w:val="16"/>
              </w:rPr>
              <w:t>Objem</w:t>
            </w:r>
          </w:p>
          <w:p w:rsidR="000E2BED" w:rsidRPr="00AE5D5D" w:rsidRDefault="000E2BED" w:rsidP="005C0F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sz w:val="16"/>
                <w:szCs w:val="16"/>
              </w:rPr>
            </w:pPr>
            <w:r w:rsidRPr="00887B35">
              <w:rPr>
                <w:b/>
                <w:sz w:val="16"/>
                <w:szCs w:val="16"/>
              </w:rPr>
              <w:t>Zásobní prostor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sz w:val="16"/>
                <w:szCs w:val="16"/>
              </w:rPr>
            </w:pPr>
            <w:r w:rsidRPr="00887B35">
              <w:rPr>
                <w:b/>
                <w:sz w:val="16"/>
                <w:szCs w:val="16"/>
              </w:rPr>
              <w:t>Ovladatelný prostor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sz w:val="16"/>
                <w:szCs w:val="16"/>
              </w:rPr>
            </w:pPr>
            <w:r w:rsidRPr="00887B35">
              <w:rPr>
                <w:b/>
                <w:sz w:val="16"/>
                <w:szCs w:val="16"/>
              </w:rPr>
              <w:t>Neovladatelný prostor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434A06" w:rsidRDefault="000E2BED" w:rsidP="005C0F1D">
            <w:pPr>
              <w:jc w:val="center"/>
              <w:rPr>
                <w:b/>
                <w:sz w:val="14"/>
                <w:szCs w:val="14"/>
              </w:rPr>
            </w:pPr>
            <w:r w:rsidRPr="00434A06">
              <w:rPr>
                <w:b/>
                <w:bCs/>
                <w:sz w:val="14"/>
                <w:szCs w:val="14"/>
              </w:rPr>
              <w:t xml:space="preserve">Přítok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434A06" w:rsidRDefault="000E2BED" w:rsidP="005C0F1D">
            <w:pPr>
              <w:jc w:val="center"/>
              <w:rPr>
                <w:b/>
                <w:bCs/>
                <w:sz w:val="14"/>
                <w:szCs w:val="14"/>
              </w:rPr>
            </w:pPr>
            <w:r w:rsidRPr="00434A06">
              <w:rPr>
                <w:b/>
                <w:bCs/>
                <w:sz w:val="14"/>
                <w:szCs w:val="14"/>
              </w:rPr>
              <w:t xml:space="preserve">Odtok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434A06" w:rsidRDefault="000E2BED" w:rsidP="005C0F1D">
            <w:pPr>
              <w:pStyle w:val="Nadpis1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Nešk</w:t>
            </w:r>
            <w:proofErr w:type="spellEnd"/>
            <w:r>
              <w:rPr>
                <w:b/>
                <w:sz w:val="14"/>
                <w:szCs w:val="14"/>
              </w:rPr>
              <w:t xml:space="preserve">. </w:t>
            </w:r>
            <w:r w:rsidRPr="00434A06">
              <w:rPr>
                <w:b/>
                <w:sz w:val="14"/>
                <w:szCs w:val="14"/>
              </w:rPr>
              <w:t>odtok</w:t>
            </w:r>
          </w:p>
          <w:p w:rsidR="000E2BED" w:rsidRPr="00887B35" w:rsidRDefault="000E2BED" w:rsidP="005C0F1D">
            <w:pPr>
              <w:pStyle w:val="Nadpis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bCs/>
                <w:sz w:val="16"/>
                <w:szCs w:val="16"/>
              </w:rPr>
            </w:pPr>
            <w:r w:rsidRPr="00887B35">
              <w:rPr>
                <w:b/>
                <w:bCs/>
                <w:sz w:val="16"/>
                <w:szCs w:val="16"/>
              </w:rPr>
              <w:t>Tendence hladiny vody v nádrži *</w:t>
            </w:r>
          </w:p>
          <w:p w:rsidR="000E2BED" w:rsidRPr="00887B35" w:rsidRDefault="000E2BED" w:rsidP="005C0F1D">
            <w:pPr>
              <w:jc w:val="center"/>
              <w:rPr>
                <w:sz w:val="14"/>
                <w:szCs w:val="14"/>
              </w:rPr>
            </w:pPr>
          </w:p>
        </w:tc>
      </w:tr>
      <w:tr w:rsidR="000E2BED" w:rsidRPr="004F74B0" w:rsidTr="000E2BED">
        <w:trPr>
          <w:cantSplit/>
          <w:trHeight w:val="317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:rsidR="000E2BED" w:rsidRPr="00887B35" w:rsidRDefault="000E2BED" w:rsidP="005C0F1D">
            <w:pPr>
              <w:pStyle w:val="Nadpis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CCCCCC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BED" w:rsidRPr="000823C3" w:rsidRDefault="000E2BED" w:rsidP="005C0F1D">
            <w:pPr>
              <w:jc w:val="center"/>
              <w:rPr>
                <w:sz w:val="12"/>
                <w:szCs w:val="12"/>
              </w:rPr>
            </w:pPr>
            <w:r w:rsidRPr="000823C3">
              <w:rPr>
                <w:sz w:val="12"/>
                <w:szCs w:val="12"/>
              </w:rPr>
              <w:t>Naplnění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volný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BED" w:rsidRPr="000823C3" w:rsidRDefault="000E2BED" w:rsidP="005C0F1D">
            <w:pPr>
              <w:jc w:val="center"/>
              <w:rPr>
                <w:sz w:val="12"/>
                <w:szCs w:val="12"/>
              </w:rPr>
            </w:pPr>
            <w:r w:rsidRPr="000823C3">
              <w:rPr>
                <w:sz w:val="12"/>
                <w:szCs w:val="12"/>
              </w:rPr>
              <w:t>naplnění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volný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BED" w:rsidRPr="000823C3" w:rsidRDefault="000E2BED" w:rsidP="005C0F1D">
            <w:pPr>
              <w:jc w:val="center"/>
              <w:rPr>
                <w:sz w:val="12"/>
                <w:szCs w:val="12"/>
              </w:rPr>
            </w:pPr>
            <w:r w:rsidRPr="000823C3">
              <w:rPr>
                <w:sz w:val="12"/>
                <w:szCs w:val="12"/>
              </w:rPr>
              <w:t>naplnění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volný</w:t>
            </w:r>
          </w:p>
        </w:tc>
        <w:tc>
          <w:tcPr>
            <w:tcW w:w="567" w:type="dxa"/>
            <w:vMerge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E2BED" w:rsidRPr="00887B35" w:rsidRDefault="000E2BED" w:rsidP="005C0F1D">
            <w:pPr>
              <w:pStyle w:val="Nadpis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E2BED" w:rsidRPr="004F74B0" w:rsidTr="000E2BED">
        <w:trPr>
          <w:cantSplit/>
          <w:trHeight w:val="264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0E2BED" w:rsidRPr="00887B35" w:rsidRDefault="000E2BED" w:rsidP="005C0F1D">
            <w:pPr>
              <w:pStyle w:val="Nadpis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 xml:space="preserve">(m </w:t>
            </w:r>
            <w:proofErr w:type="gramStart"/>
            <w:r w:rsidRPr="00A24014">
              <w:rPr>
                <w:sz w:val="14"/>
                <w:szCs w:val="14"/>
              </w:rPr>
              <w:t>n.m.</w:t>
            </w:r>
            <w:proofErr w:type="gramEnd"/>
            <w:r w:rsidRPr="00A24014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b/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(</w:t>
            </w:r>
            <w:proofErr w:type="gramStart"/>
            <w:r w:rsidRPr="00A24014">
              <w:rPr>
                <w:sz w:val="14"/>
                <w:szCs w:val="14"/>
              </w:rPr>
              <w:t>mil.m</w:t>
            </w:r>
            <w:r w:rsidRPr="00A24014">
              <w:rPr>
                <w:sz w:val="14"/>
                <w:szCs w:val="14"/>
                <w:vertAlign w:val="superscript"/>
              </w:rPr>
              <w:t>3</w:t>
            </w:r>
            <w:proofErr w:type="gramEnd"/>
            <w:r w:rsidRPr="00A24014">
              <w:rPr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(%)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0823C3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(</w:t>
            </w:r>
            <w:proofErr w:type="gramStart"/>
            <w:r w:rsidRPr="00A24014">
              <w:rPr>
                <w:sz w:val="14"/>
                <w:szCs w:val="14"/>
              </w:rPr>
              <w:t>mil.m</w:t>
            </w:r>
            <w:r w:rsidRPr="00A24014">
              <w:rPr>
                <w:sz w:val="14"/>
                <w:szCs w:val="14"/>
                <w:vertAlign w:val="superscript"/>
              </w:rPr>
              <w:t>3</w:t>
            </w:r>
            <w:proofErr w:type="gramEnd"/>
            <w:r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(%)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0823C3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(</w:t>
            </w:r>
            <w:proofErr w:type="gramStart"/>
            <w:r w:rsidRPr="00A24014">
              <w:rPr>
                <w:sz w:val="14"/>
                <w:szCs w:val="14"/>
              </w:rPr>
              <w:t>mil.m</w:t>
            </w:r>
            <w:r w:rsidRPr="00A24014">
              <w:rPr>
                <w:sz w:val="14"/>
                <w:szCs w:val="14"/>
                <w:vertAlign w:val="superscript"/>
              </w:rPr>
              <w:t>3</w:t>
            </w:r>
            <w:proofErr w:type="gramEnd"/>
            <w:r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(%)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sz w:val="14"/>
                <w:szCs w:val="14"/>
              </w:rPr>
            </w:pPr>
            <w:r w:rsidRPr="00A24014">
              <w:rPr>
                <w:sz w:val="14"/>
                <w:szCs w:val="14"/>
              </w:rPr>
              <w:t>(%)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b/>
                <w:bCs/>
                <w:sz w:val="14"/>
                <w:szCs w:val="14"/>
              </w:rPr>
            </w:pPr>
            <w:r w:rsidRPr="00A24014">
              <w:rPr>
                <w:bCs/>
                <w:sz w:val="14"/>
                <w:szCs w:val="14"/>
              </w:rPr>
              <w:t>(m</w:t>
            </w:r>
            <w:r w:rsidRPr="00A24014">
              <w:rPr>
                <w:bCs/>
                <w:sz w:val="14"/>
                <w:szCs w:val="14"/>
                <w:vertAlign w:val="superscript"/>
              </w:rPr>
              <w:t>3</w:t>
            </w:r>
            <w:r w:rsidRPr="00A24014">
              <w:rPr>
                <w:bCs/>
                <w:sz w:val="14"/>
                <w:szCs w:val="14"/>
              </w:rPr>
              <w:t>.s</w:t>
            </w:r>
            <w:r w:rsidRPr="00A24014">
              <w:rPr>
                <w:bCs/>
                <w:sz w:val="14"/>
                <w:szCs w:val="14"/>
                <w:vertAlign w:val="superscript"/>
              </w:rPr>
              <w:t>-1</w:t>
            </w:r>
            <w:r w:rsidRPr="00A24014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jc w:val="center"/>
              <w:rPr>
                <w:b/>
                <w:bCs/>
                <w:sz w:val="14"/>
                <w:szCs w:val="14"/>
              </w:rPr>
            </w:pPr>
            <w:r w:rsidRPr="00A24014">
              <w:rPr>
                <w:bCs/>
                <w:sz w:val="14"/>
                <w:szCs w:val="14"/>
              </w:rPr>
              <w:t>(m</w:t>
            </w:r>
            <w:r w:rsidRPr="00A24014">
              <w:rPr>
                <w:bCs/>
                <w:sz w:val="14"/>
                <w:szCs w:val="14"/>
                <w:vertAlign w:val="superscript"/>
              </w:rPr>
              <w:t>3</w:t>
            </w:r>
            <w:r w:rsidRPr="00A24014">
              <w:rPr>
                <w:bCs/>
                <w:sz w:val="14"/>
                <w:szCs w:val="14"/>
              </w:rPr>
              <w:t>.s</w:t>
            </w:r>
            <w:r w:rsidRPr="00A24014">
              <w:rPr>
                <w:bCs/>
                <w:sz w:val="14"/>
                <w:szCs w:val="14"/>
                <w:vertAlign w:val="superscript"/>
              </w:rPr>
              <w:t>-1</w:t>
            </w:r>
            <w:r w:rsidRPr="00A24014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2BED" w:rsidRPr="00A24014" w:rsidRDefault="000E2BED" w:rsidP="005C0F1D">
            <w:pPr>
              <w:pStyle w:val="Nadpis1"/>
              <w:jc w:val="center"/>
              <w:rPr>
                <w:b/>
                <w:sz w:val="14"/>
                <w:szCs w:val="14"/>
              </w:rPr>
            </w:pPr>
            <w:r w:rsidRPr="00A24014">
              <w:rPr>
                <w:bCs/>
                <w:sz w:val="14"/>
                <w:szCs w:val="14"/>
              </w:rPr>
              <w:t>(m</w:t>
            </w:r>
            <w:r w:rsidRPr="00A24014">
              <w:rPr>
                <w:bCs/>
                <w:sz w:val="14"/>
                <w:szCs w:val="14"/>
                <w:vertAlign w:val="superscript"/>
              </w:rPr>
              <w:t>3</w:t>
            </w:r>
            <w:r w:rsidRPr="00A24014">
              <w:rPr>
                <w:bCs/>
                <w:sz w:val="14"/>
                <w:szCs w:val="14"/>
              </w:rPr>
              <w:t>.s</w:t>
            </w:r>
            <w:r w:rsidRPr="00A24014">
              <w:rPr>
                <w:bCs/>
                <w:sz w:val="14"/>
                <w:szCs w:val="14"/>
                <w:vertAlign w:val="superscript"/>
              </w:rPr>
              <w:t>-1</w:t>
            </w:r>
            <w:r w:rsidRPr="00A24014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E2BED" w:rsidRPr="00887B35" w:rsidRDefault="000E2BED" w:rsidP="005C0F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Labská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setrvalá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 Království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setrvalá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Rozkoš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setrvalá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Orlice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Pastviny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klesá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Chrudimka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klesá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Chrudimka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klesá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Chrudimka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Křižanovice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setrvalá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Doubrava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Pařížov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setrvalá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Vrchlice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Vrchlice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setrvalá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Jos</w:t>
            </w:r>
            <w:proofErr w:type="spellEnd"/>
            <w:r>
              <w:rPr>
                <w:sz w:val="18"/>
                <w:szCs w:val="18"/>
              </w:rPr>
              <w:t>. Důl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klesá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Černá Desná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klesá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Mšenský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Mšeno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klesá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Harcovský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Harcov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setrvalá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Černá Nisa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Bedřichov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klesá</w:t>
            </w:r>
          </w:p>
        </w:tc>
      </w:tr>
      <w:tr w:rsidR="000E2BED" w:rsidTr="000E2BED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Fojtka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Fojtka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setrvalá</w:t>
            </w:r>
          </w:p>
        </w:tc>
      </w:tr>
      <w:tr w:rsidR="000E2BED" w:rsidTr="000E2BED">
        <w:trPr>
          <w:trHeight w:val="2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Albrechtický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Mlýnice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E2BED" w:rsidRDefault="000E2BED" w:rsidP="000E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setrvalá</w:t>
            </w:r>
          </w:p>
        </w:tc>
      </w:tr>
    </w:tbl>
    <w:p w:rsidR="001A07B3" w:rsidRPr="00000566" w:rsidRDefault="00B870A5" w:rsidP="00994C32">
      <w:pPr>
        <w:ind w:left="142"/>
        <w:rPr>
          <w:i/>
          <w:sz w:val="18"/>
          <w:szCs w:val="18"/>
        </w:rPr>
      </w:pPr>
      <w:r w:rsidRPr="00000566">
        <w:rPr>
          <w:i/>
          <w:sz w:val="18"/>
          <w:szCs w:val="18"/>
        </w:rPr>
        <w:t>* Pozn.:</w:t>
      </w:r>
      <w:r w:rsidRPr="00000566">
        <w:rPr>
          <w:i/>
          <w:sz w:val="18"/>
          <w:szCs w:val="18"/>
        </w:rPr>
        <w:tab/>
        <w:t xml:space="preserve">tendence - klesá, </w:t>
      </w:r>
      <w:r w:rsidR="0008393A" w:rsidRPr="00000566">
        <w:rPr>
          <w:i/>
          <w:sz w:val="18"/>
          <w:szCs w:val="18"/>
        </w:rPr>
        <w:t>zvolna</w:t>
      </w:r>
      <w:r w:rsidRPr="00000566">
        <w:rPr>
          <w:i/>
          <w:sz w:val="18"/>
          <w:szCs w:val="18"/>
        </w:rPr>
        <w:t xml:space="preserve"> klesá, setrvalý stav, </w:t>
      </w:r>
      <w:r w:rsidR="0008393A" w:rsidRPr="00000566">
        <w:rPr>
          <w:i/>
          <w:sz w:val="18"/>
          <w:szCs w:val="18"/>
        </w:rPr>
        <w:t>zvolna</w:t>
      </w:r>
      <w:r w:rsidRPr="00000566">
        <w:rPr>
          <w:i/>
          <w:sz w:val="18"/>
          <w:szCs w:val="18"/>
        </w:rPr>
        <w:t xml:space="preserve"> stoupá, stoupá</w:t>
      </w:r>
    </w:p>
    <w:p w:rsidR="00B870A5" w:rsidRDefault="00B870A5" w:rsidP="006F4DC0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</w:p>
    <w:p w:rsidR="000E2BED" w:rsidRDefault="000E2BED" w:rsidP="006F4DC0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</w:t>
      </w:r>
      <w:proofErr w:type="gramStart"/>
      <w:r>
        <w:rPr>
          <w:sz w:val="22"/>
          <w:szCs w:val="22"/>
        </w:rPr>
        <w:t>10.9.2024</w:t>
      </w:r>
      <w:proofErr w:type="gramEnd"/>
      <w:r>
        <w:rPr>
          <w:sz w:val="22"/>
          <w:szCs w:val="22"/>
        </w:rPr>
        <w:t xml:space="preserve"> jsme </w:t>
      </w:r>
      <w:proofErr w:type="spellStart"/>
      <w:r>
        <w:rPr>
          <w:sz w:val="22"/>
          <w:szCs w:val="22"/>
        </w:rPr>
        <w:t>předvypouštěním</w:t>
      </w:r>
      <w:proofErr w:type="spellEnd"/>
      <w:r>
        <w:rPr>
          <w:sz w:val="22"/>
          <w:szCs w:val="22"/>
        </w:rPr>
        <w:t xml:space="preserve"> zvýšili volný zásobní prostor </w:t>
      </w:r>
      <w:r w:rsidR="00B4767E">
        <w:rPr>
          <w:sz w:val="22"/>
          <w:szCs w:val="22"/>
        </w:rPr>
        <w:t xml:space="preserve">v nádržích </w:t>
      </w:r>
      <w:r>
        <w:rPr>
          <w:sz w:val="22"/>
          <w:szCs w:val="22"/>
        </w:rPr>
        <w:t>o 7,4 mil. m</w:t>
      </w:r>
      <w:r w:rsidRPr="000E2BED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tedy o cca 10%.  </w:t>
      </w:r>
    </w:p>
    <w:p w:rsidR="000E2BED" w:rsidRPr="00000566" w:rsidRDefault="000E2BED" w:rsidP="006F4DC0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</w:p>
    <w:p w:rsidR="00B870A5" w:rsidRPr="00000566" w:rsidRDefault="00B870A5" w:rsidP="00EF5A63">
      <w:pPr>
        <w:tabs>
          <w:tab w:val="left" w:pos="142"/>
          <w:tab w:val="left" w:pos="5670"/>
        </w:tabs>
        <w:spacing w:after="60"/>
        <w:ind w:left="142" w:right="-1" w:hanging="284"/>
        <w:jc w:val="both"/>
        <w:rPr>
          <w:b/>
          <w:sz w:val="22"/>
          <w:szCs w:val="22"/>
        </w:rPr>
      </w:pPr>
      <w:r w:rsidRPr="00000566">
        <w:rPr>
          <w:b/>
          <w:sz w:val="22"/>
          <w:szCs w:val="22"/>
        </w:rPr>
        <w:t>5)</w:t>
      </w:r>
      <w:r w:rsidRPr="00000566">
        <w:rPr>
          <w:b/>
          <w:sz w:val="22"/>
          <w:szCs w:val="22"/>
        </w:rPr>
        <w:tab/>
        <w:t>Důležité informace + popis nejkritičtějších míst (plánované manipulace na významných vodních dílech, narušená stabilita hráze nebo protržení hrází, velké rozlivy, poškození jezů, evakuace apod.):</w:t>
      </w:r>
    </w:p>
    <w:p w:rsidR="00331C57" w:rsidRPr="00000566" w:rsidRDefault="000862C2" w:rsidP="00331C57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  <w:r w:rsidRPr="00000566">
        <w:rPr>
          <w:sz w:val="22"/>
          <w:szCs w:val="22"/>
        </w:rPr>
        <w:t>V tuto chvíli n</w:t>
      </w:r>
      <w:r w:rsidR="00331C57" w:rsidRPr="00000566">
        <w:rPr>
          <w:sz w:val="22"/>
          <w:szCs w:val="22"/>
        </w:rPr>
        <w:t>emáme informace o výskytu mimořádných situací na vodních tocích</w:t>
      </w:r>
      <w:r w:rsidRPr="00000566">
        <w:rPr>
          <w:sz w:val="22"/>
          <w:szCs w:val="22"/>
        </w:rPr>
        <w:t xml:space="preserve">. </w:t>
      </w:r>
      <w:r w:rsidR="000E2BED" w:rsidRPr="000E2BED">
        <w:rPr>
          <w:sz w:val="22"/>
          <w:szCs w:val="22"/>
        </w:rPr>
        <w:t xml:space="preserve">Na základě vzestupů hladin lze předpokládat, že budou postupně uváděny do funkce stavby protipovodňové ochrany jako Hostinné, Žamberk, Albrechtice, Plchovice, Dvakačovice, </w:t>
      </w:r>
      <w:proofErr w:type="spellStart"/>
      <w:r w:rsidR="000E2BED" w:rsidRPr="000E2BED">
        <w:rPr>
          <w:sz w:val="22"/>
          <w:szCs w:val="22"/>
        </w:rPr>
        <w:t>Uhřetice</w:t>
      </w:r>
      <w:proofErr w:type="spellEnd"/>
      <w:r w:rsidR="000E2BED" w:rsidRPr="000E2BED">
        <w:rPr>
          <w:sz w:val="22"/>
          <w:szCs w:val="22"/>
        </w:rPr>
        <w:t xml:space="preserve">, </w:t>
      </w:r>
      <w:proofErr w:type="spellStart"/>
      <w:r w:rsidR="000E2BED" w:rsidRPr="000E2BED">
        <w:rPr>
          <w:sz w:val="22"/>
          <w:szCs w:val="22"/>
        </w:rPr>
        <w:t>Uhřetická</w:t>
      </w:r>
      <w:proofErr w:type="spellEnd"/>
      <w:r w:rsidR="000E2BED" w:rsidRPr="000E2BED">
        <w:rPr>
          <w:sz w:val="22"/>
          <w:szCs w:val="22"/>
        </w:rPr>
        <w:t xml:space="preserve"> Lhota, Čankovice, Tuněchody, Hrochův Týnec, Vrdy, Mnichovo Hradiště, Benátky n. J., Pardubice, Poděbrady a následně dle upřesnění předpovědí i Mělník, Křešice, Lovosice, Ústí n. L. a  Děčín.</w:t>
      </w:r>
      <w:r w:rsidR="00331C57" w:rsidRPr="00000566">
        <w:rPr>
          <w:sz w:val="22"/>
          <w:szCs w:val="22"/>
        </w:rPr>
        <w:t xml:space="preserve"> </w:t>
      </w:r>
    </w:p>
    <w:p w:rsidR="005823AE" w:rsidRPr="00000566" w:rsidRDefault="005823AE" w:rsidP="005823AE">
      <w:pPr>
        <w:tabs>
          <w:tab w:val="left" w:pos="5670"/>
        </w:tabs>
        <w:ind w:left="142" w:right="-568"/>
        <w:jc w:val="both"/>
        <w:rPr>
          <w:sz w:val="22"/>
          <w:szCs w:val="22"/>
        </w:rPr>
      </w:pPr>
    </w:p>
    <w:p w:rsidR="005823AE" w:rsidRPr="00000566" w:rsidRDefault="005823AE" w:rsidP="00EF5A63">
      <w:pPr>
        <w:tabs>
          <w:tab w:val="left" w:pos="142"/>
          <w:tab w:val="left" w:pos="5670"/>
        </w:tabs>
        <w:spacing w:after="60"/>
        <w:ind w:left="142" w:right="-567" w:hanging="284"/>
        <w:jc w:val="both"/>
        <w:rPr>
          <w:b/>
          <w:sz w:val="22"/>
          <w:szCs w:val="22"/>
        </w:rPr>
      </w:pPr>
      <w:r w:rsidRPr="00000566">
        <w:rPr>
          <w:b/>
          <w:sz w:val="22"/>
          <w:szCs w:val="22"/>
        </w:rPr>
        <w:t>6)</w:t>
      </w:r>
      <w:r w:rsidRPr="00000566">
        <w:rPr>
          <w:b/>
          <w:sz w:val="22"/>
          <w:szCs w:val="22"/>
        </w:rPr>
        <w:tab/>
        <w:t>Plavební provoz na LVC:</w:t>
      </w:r>
      <w:r w:rsidR="00871FBE" w:rsidRPr="00000566">
        <w:rPr>
          <w:b/>
          <w:sz w:val="22"/>
          <w:szCs w:val="22"/>
        </w:rPr>
        <w:t xml:space="preserve"> </w:t>
      </w:r>
      <w:r w:rsidR="00372550" w:rsidRPr="00000566">
        <w:rPr>
          <w:b/>
          <w:i/>
          <w:sz w:val="22"/>
          <w:szCs w:val="22"/>
        </w:rPr>
        <w:t>aktualizováno</w:t>
      </w:r>
      <w:r w:rsidR="00871FBE" w:rsidRPr="00000566">
        <w:rPr>
          <w:b/>
          <w:i/>
          <w:sz w:val="22"/>
          <w:szCs w:val="22"/>
        </w:rPr>
        <w:t xml:space="preserve"> v 9:30</w:t>
      </w:r>
    </w:p>
    <w:p w:rsidR="00B80E23" w:rsidRPr="00000566" w:rsidRDefault="00994C32" w:rsidP="00AF4A8E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  <w:r w:rsidRPr="00000566">
        <w:rPr>
          <w:sz w:val="22"/>
          <w:szCs w:val="22"/>
        </w:rPr>
        <w:t xml:space="preserve">Překročení hodnot vodních stavů, rozhodných pro zastavení plavebního provozu předpokládáme v řídících profilech Přelouč a Kostelec </w:t>
      </w:r>
      <w:proofErr w:type="spellStart"/>
      <w:proofErr w:type="gramStart"/>
      <w:r w:rsidRPr="00000566">
        <w:rPr>
          <w:sz w:val="22"/>
          <w:szCs w:val="22"/>
        </w:rPr>
        <w:t>n.L.</w:t>
      </w:r>
      <w:proofErr w:type="spellEnd"/>
      <w:proofErr w:type="gramEnd"/>
      <w:r w:rsidRPr="00000566">
        <w:rPr>
          <w:sz w:val="22"/>
          <w:szCs w:val="22"/>
        </w:rPr>
        <w:t xml:space="preserve"> 14.9.2024 v dopoledních hodinách, v profilu Mělník 14.9.2024 v odpoledních hodinách a v profilu Ústí </w:t>
      </w:r>
      <w:proofErr w:type="spellStart"/>
      <w:r w:rsidRPr="00000566">
        <w:rPr>
          <w:sz w:val="22"/>
          <w:szCs w:val="22"/>
        </w:rPr>
        <w:t>n.L.</w:t>
      </w:r>
      <w:proofErr w:type="spellEnd"/>
      <w:r w:rsidRPr="00000566">
        <w:rPr>
          <w:sz w:val="22"/>
          <w:szCs w:val="22"/>
        </w:rPr>
        <w:t xml:space="preserve"> 15.9.2024 během noci.</w:t>
      </w:r>
      <w:r w:rsidR="00AE2BB3" w:rsidRPr="00000566">
        <w:rPr>
          <w:sz w:val="22"/>
          <w:szCs w:val="22"/>
        </w:rPr>
        <w:t xml:space="preserve">                         </w:t>
      </w:r>
    </w:p>
    <w:p w:rsidR="005C3F6B" w:rsidRPr="00000566" w:rsidRDefault="005C3F6B" w:rsidP="00AF4A8E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</w:p>
    <w:p w:rsidR="00434A06" w:rsidRPr="00000566" w:rsidRDefault="006F4DC0" w:rsidP="006F4DC0">
      <w:pPr>
        <w:tabs>
          <w:tab w:val="left" w:pos="142"/>
          <w:tab w:val="left" w:pos="5670"/>
        </w:tabs>
        <w:spacing w:after="60"/>
        <w:ind w:left="142" w:right="-567" w:hanging="284"/>
        <w:jc w:val="both"/>
        <w:rPr>
          <w:b/>
          <w:sz w:val="22"/>
          <w:szCs w:val="22"/>
        </w:rPr>
      </w:pPr>
      <w:r w:rsidRPr="00000566">
        <w:rPr>
          <w:b/>
          <w:sz w:val="22"/>
          <w:szCs w:val="22"/>
        </w:rPr>
        <w:t>7)</w:t>
      </w:r>
      <w:r w:rsidRPr="00000566">
        <w:rPr>
          <w:b/>
          <w:sz w:val="22"/>
          <w:szCs w:val="22"/>
        </w:rPr>
        <w:tab/>
      </w:r>
      <w:r w:rsidR="00434A06" w:rsidRPr="00000566">
        <w:rPr>
          <w:b/>
          <w:sz w:val="22"/>
          <w:szCs w:val="22"/>
        </w:rPr>
        <w:t>Předpověď předpokládaného vývoje:</w:t>
      </w:r>
    </w:p>
    <w:p w:rsidR="005823AE" w:rsidRPr="00000566" w:rsidRDefault="000862C2" w:rsidP="00EF5A63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  <w:r w:rsidRPr="00000566">
        <w:rPr>
          <w:sz w:val="22"/>
          <w:szCs w:val="22"/>
        </w:rPr>
        <w:t xml:space="preserve">V období od </w:t>
      </w:r>
      <w:r w:rsidR="00994C32" w:rsidRPr="00000566">
        <w:rPr>
          <w:sz w:val="22"/>
          <w:szCs w:val="22"/>
        </w:rPr>
        <w:t>pátka</w:t>
      </w:r>
      <w:r w:rsidRPr="00000566">
        <w:rPr>
          <w:sz w:val="22"/>
          <w:szCs w:val="22"/>
        </w:rPr>
        <w:t xml:space="preserve"> 1</w:t>
      </w:r>
      <w:r w:rsidR="00994C32" w:rsidRPr="00000566">
        <w:rPr>
          <w:sz w:val="22"/>
          <w:szCs w:val="22"/>
        </w:rPr>
        <w:t>3</w:t>
      </w:r>
      <w:r w:rsidRPr="00000566">
        <w:rPr>
          <w:sz w:val="22"/>
          <w:szCs w:val="22"/>
        </w:rPr>
        <w:t>. 9. do neděle 15. 9. (suma za čtyři dny) předpokládáme extrémní srážky většinou v rozmezí od 150 do 250 mm. V důsledku vydatných srážek očekáváme od pátečního večera výrazné vzestupy hladin vodních toků. Nejvyšší vzestupy s četným překročením 3. SPA předpokládáme až během soboty a neděle. V povodích, kde budou 24hodinové úhrny přesahovat hodnoty nad 120 mm, předpokládáme i možnost výrazného překročení limitů pro 3. SPA.</w:t>
      </w:r>
    </w:p>
    <w:p w:rsidR="00C72F73" w:rsidRPr="00000566" w:rsidRDefault="00C72F73" w:rsidP="00EF5A63">
      <w:pPr>
        <w:tabs>
          <w:tab w:val="left" w:pos="5670"/>
        </w:tabs>
        <w:ind w:left="142" w:right="-1"/>
        <w:jc w:val="both"/>
        <w:rPr>
          <w:sz w:val="22"/>
          <w:szCs w:val="22"/>
        </w:rPr>
      </w:pPr>
    </w:p>
    <w:p w:rsidR="00C72F73" w:rsidRPr="00000566" w:rsidRDefault="00C72F73" w:rsidP="00C72F73">
      <w:pPr>
        <w:ind w:left="-142"/>
        <w:rPr>
          <w:sz w:val="22"/>
          <w:szCs w:val="22"/>
        </w:rPr>
      </w:pPr>
      <w:r w:rsidRPr="00000566">
        <w:rPr>
          <w:sz w:val="22"/>
          <w:szCs w:val="22"/>
        </w:rPr>
        <w:t>Zpráva byla vypracována ve spolupráci s Českým hydrometeorologickým ústavem.</w:t>
      </w:r>
    </w:p>
    <w:p w:rsidR="00F74857" w:rsidRPr="00000566" w:rsidRDefault="00F74857" w:rsidP="00C72F73">
      <w:pPr>
        <w:ind w:left="-142"/>
        <w:rPr>
          <w:sz w:val="22"/>
          <w:szCs w:val="22"/>
        </w:rPr>
      </w:pPr>
    </w:p>
    <w:p w:rsidR="00C72F73" w:rsidRPr="00000566" w:rsidRDefault="00F74857" w:rsidP="00C72F73">
      <w:pPr>
        <w:ind w:left="-142"/>
        <w:rPr>
          <w:sz w:val="22"/>
          <w:szCs w:val="22"/>
        </w:rPr>
      </w:pPr>
      <w:r w:rsidRPr="00000566">
        <w:rPr>
          <w:sz w:val="22"/>
          <w:szCs w:val="22"/>
        </w:rPr>
        <w:t xml:space="preserve">Další informační zpráva bude vydána </w:t>
      </w:r>
      <w:r w:rsidR="00B4767E">
        <w:rPr>
          <w:sz w:val="22"/>
          <w:szCs w:val="22"/>
        </w:rPr>
        <w:t xml:space="preserve">dnes </w:t>
      </w:r>
      <w:proofErr w:type="gramStart"/>
      <w:r w:rsidR="00B4767E">
        <w:rPr>
          <w:sz w:val="22"/>
          <w:szCs w:val="22"/>
        </w:rPr>
        <w:t>13.9.2024</w:t>
      </w:r>
      <w:proofErr w:type="gramEnd"/>
      <w:r w:rsidR="00B4767E">
        <w:rPr>
          <w:sz w:val="22"/>
          <w:szCs w:val="22"/>
        </w:rPr>
        <w:t xml:space="preserve"> v 18:00 hodin.</w:t>
      </w:r>
    </w:p>
    <w:p w:rsidR="00C72F73" w:rsidRPr="00000566" w:rsidRDefault="00C72F73" w:rsidP="00C72F73">
      <w:pPr>
        <w:pStyle w:val="odstaveczarovnan"/>
        <w:spacing w:after="0"/>
        <w:ind w:left="-142"/>
        <w:rPr>
          <w:rFonts w:ascii="Times New Roman" w:hAnsi="Times New Roman"/>
          <w:szCs w:val="22"/>
        </w:rPr>
      </w:pPr>
    </w:p>
    <w:p w:rsidR="00C72F73" w:rsidRPr="00000566" w:rsidRDefault="00C72F73" w:rsidP="00C72F73">
      <w:pPr>
        <w:tabs>
          <w:tab w:val="center" w:pos="7088"/>
        </w:tabs>
        <w:ind w:left="-142"/>
        <w:rPr>
          <w:sz w:val="22"/>
          <w:szCs w:val="22"/>
        </w:rPr>
      </w:pPr>
    </w:p>
    <w:p w:rsidR="00C72F73" w:rsidRPr="00000566" w:rsidRDefault="00C72F73" w:rsidP="00C72F73">
      <w:pPr>
        <w:pStyle w:val="Textdopisu"/>
        <w:ind w:left="-142"/>
        <w:jc w:val="both"/>
        <w:rPr>
          <w:rFonts w:ascii="Times New Roman" w:hAnsi="Times New Roman"/>
          <w:noProof w:val="0"/>
          <w:sz w:val="22"/>
          <w:szCs w:val="22"/>
        </w:rPr>
      </w:pPr>
    </w:p>
    <w:p w:rsidR="00C72F73" w:rsidRPr="00000566" w:rsidRDefault="00C72F73" w:rsidP="00C72F73">
      <w:pPr>
        <w:pStyle w:val="odstaveczarovnan"/>
        <w:suppressAutoHyphens w:val="0"/>
        <w:spacing w:after="0"/>
        <w:ind w:left="-142"/>
        <w:rPr>
          <w:rFonts w:ascii="Times New Roman" w:hAnsi="Times New Roman"/>
          <w:szCs w:val="22"/>
        </w:rPr>
      </w:pPr>
      <w:r w:rsidRPr="00000566">
        <w:rPr>
          <w:rFonts w:ascii="Times New Roman" w:hAnsi="Times New Roman"/>
          <w:szCs w:val="22"/>
        </w:rPr>
        <w:t xml:space="preserve">Ing. Jiří Petr </w:t>
      </w:r>
    </w:p>
    <w:p w:rsidR="00C72F73" w:rsidRPr="00000566" w:rsidRDefault="00C72F73" w:rsidP="00C72F73">
      <w:pPr>
        <w:ind w:left="-142"/>
        <w:rPr>
          <w:sz w:val="22"/>
          <w:szCs w:val="22"/>
        </w:rPr>
      </w:pPr>
      <w:r w:rsidRPr="00000566">
        <w:rPr>
          <w:sz w:val="22"/>
          <w:szCs w:val="22"/>
        </w:rPr>
        <w:t>vedoucí vodohospodářského dispečinku</w:t>
      </w:r>
    </w:p>
    <w:p w:rsidR="00C72F73" w:rsidRPr="00000566" w:rsidRDefault="00C72F73" w:rsidP="00C72F73">
      <w:pPr>
        <w:ind w:left="-142"/>
        <w:rPr>
          <w:sz w:val="22"/>
          <w:szCs w:val="22"/>
        </w:rPr>
      </w:pPr>
      <w:r w:rsidRPr="00000566">
        <w:rPr>
          <w:sz w:val="22"/>
          <w:szCs w:val="22"/>
        </w:rPr>
        <w:t>tel.: 495088730 nebo 720</w:t>
      </w:r>
    </w:p>
    <w:p w:rsidR="00C72F73" w:rsidRPr="00000566" w:rsidRDefault="00C72F73" w:rsidP="00C72F73">
      <w:pPr>
        <w:ind w:left="-142"/>
        <w:rPr>
          <w:sz w:val="22"/>
          <w:szCs w:val="22"/>
        </w:rPr>
      </w:pPr>
      <w:r w:rsidRPr="00000566">
        <w:rPr>
          <w:sz w:val="22"/>
          <w:szCs w:val="22"/>
        </w:rPr>
        <w:t xml:space="preserve">e-mail: </w:t>
      </w:r>
      <w:hyperlink r:id="rId10" w:history="1">
        <w:r w:rsidRPr="00000566">
          <w:rPr>
            <w:rStyle w:val="Hypertextovodkaz"/>
            <w:sz w:val="22"/>
            <w:szCs w:val="22"/>
          </w:rPr>
          <w:t>vhd@pla.cz</w:t>
        </w:r>
      </w:hyperlink>
    </w:p>
    <w:p w:rsidR="00C72F73" w:rsidRPr="00C72F73" w:rsidRDefault="00C72F73" w:rsidP="00C72F73">
      <w:pPr>
        <w:ind w:left="-142"/>
        <w:rPr>
          <w:sz w:val="22"/>
          <w:szCs w:val="22"/>
        </w:rPr>
      </w:pPr>
      <w:r w:rsidRPr="00000566">
        <w:rPr>
          <w:sz w:val="22"/>
          <w:szCs w:val="22"/>
        </w:rPr>
        <w:t>internet:  www.pla.cz</w:t>
      </w:r>
    </w:p>
    <w:p w:rsidR="00C72F73" w:rsidRPr="00C72F73" w:rsidRDefault="00C72F73" w:rsidP="005823AE">
      <w:pPr>
        <w:tabs>
          <w:tab w:val="left" w:pos="5670"/>
        </w:tabs>
        <w:ind w:left="142" w:right="-568"/>
        <w:jc w:val="both"/>
        <w:rPr>
          <w:sz w:val="22"/>
          <w:szCs w:val="22"/>
        </w:rPr>
      </w:pPr>
    </w:p>
    <w:sectPr w:rsidR="00C72F73" w:rsidRPr="00C72F73" w:rsidSect="000E2BED">
      <w:footerReference w:type="default" r:id="rId11"/>
      <w:pgSz w:w="11906" w:h="16838"/>
      <w:pgMar w:top="993" w:right="1417" w:bottom="1418" w:left="851" w:header="708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80" w:rsidRDefault="005B4C80" w:rsidP="004F74B0">
      <w:r>
        <w:separator/>
      </w:r>
    </w:p>
  </w:endnote>
  <w:endnote w:type="continuationSeparator" w:id="0">
    <w:p w:rsidR="005B4C80" w:rsidRDefault="005B4C80" w:rsidP="004F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C7" w:rsidRDefault="00744EC7" w:rsidP="00744EC7">
    <w:pPr>
      <w:pStyle w:val="Zpat"/>
      <w:jc w:val="center"/>
    </w:pPr>
    <w:r>
      <w:rPr>
        <w:b/>
        <w:bCs/>
        <w:i/>
        <w:iCs/>
      </w:rPr>
      <w:t xml:space="preserve">Další doplňující aktuální informace naleznete na internetových stránkách </w:t>
    </w:r>
    <w:proofErr w:type="gramStart"/>
    <w:r>
      <w:rPr>
        <w:b/>
        <w:bCs/>
        <w:i/>
        <w:iCs/>
      </w:rPr>
      <w:t>www</w:t>
    </w:r>
    <w:proofErr w:type="gramEnd"/>
    <w:r>
      <w:rPr>
        <w:b/>
        <w:bCs/>
        <w:i/>
        <w:iCs/>
      </w:rPr>
      <w:t>.</w:t>
    </w:r>
    <w:proofErr w:type="gramStart"/>
    <w:r>
      <w:rPr>
        <w:b/>
        <w:bCs/>
        <w:i/>
        <w:iCs/>
      </w:rPr>
      <w:t>voda</w:t>
    </w:r>
    <w:proofErr w:type="gramEnd"/>
    <w:r>
      <w:rPr>
        <w:b/>
        <w:bCs/>
        <w:i/>
        <w:iCs/>
      </w:rPr>
      <w:t>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80" w:rsidRDefault="005B4C80" w:rsidP="004F74B0">
      <w:r>
        <w:separator/>
      </w:r>
    </w:p>
  </w:footnote>
  <w:footnote w:type="continuationSeparator" w:id="0">
    <w:p w:rsidR="005B4C80" w:rsidRDefault="005B4C80" w:rsidP="004F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D64F3"/>
    <w:multiLevelType w:val="hybridMultilevel"/>
    <w:tmpl w:val="2DC06C4E"/>
    <w:lvl w:ilvl="0" w:tplc="8BAE0EF4">
      <w:start w:val="7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776E0FF8"/>
    <w:multiLevelType w:val="hybridMultilevel"/>
    <w:tmpl w:val="3BD0EE82"/>
    <w:lvl w:ilvl="0" w:tplc="D57C9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80"/>
    <w:rsid w:val="00000566"/>
    <w:rsid w:val="0008393A"/>
    <w:rsid w:val="000862C2"/>
    <w:rsid w:val="000A02A8"/>
    <w:rsid w:val="000C4A1A"/>
    <w:rsid w:val="000E2BED"/>
    <w:rsid w:val="000F351C"/>
    <w:rsid w:val="001044F7"/>
    <w:rsid w:val="001251BB"/>
    <w:rsid w:val="00125672"/>
    <w:rsid w:val="00180EC4"/>
    <w:rsid w:val="00195257"/>
    <w:rsid w:val="00197C9E"/>
    <w:rsid w:val="001A07B3"/>
    <w:rsid w:val="001B3EC6"/>
    <w:rsid w:val="001C2D12"/>
    <w:rsid w:val="001D4EF0"/>
    <w:rsid w:val="001D5619"/>
    <w:rsid w:val="001E7B50"/>
    <w:rsid w:val="00237FCC"/>
    <w:rsid w:val="0030088C"/>
    <w:rsid w:val="00306DA8"/>
    <w:rsid w:val="00331C57"/>
    <w:rsid w:val="00372550"/>
    <w:rsid w:val="00384964"/>
    <w:rsid w:val="003C49D2"/>
    <w:rsid w:val="00406F6F"/>
    <w:rsid w:val="00427A98"/>
    <w:rsid w:val="00434A06"/>
    <w:rsid w:val="00450197"/>
    <w:rsid w:val="00455E9D"/>
    <w:rsid w:val="00457A1E"/>
    <w:rsid w:val="0046685A"/>
    <w:rsid w:val="00473FB5"/>
    <w:rsid w:val="004A3FEC"/>
    <w:rsid w:val="004B4152"/>
    <w:rsid w:val="004C0F2F"/>
    <w:rsid w:val="004C69C7"/>
    <w:rsid w:val="004E0310"/>
    <w:rsid w:val="004F74B0"/>
    <w:rsid w:val="00513E9F"/>
    <w:rsid w:val="005313A9"/>
    <w:rsid w:val="005823AE"/>
    <w:rsid w:val="005837AC"/>
    <w:rsid w:val="005A7497"/>
    <w:rsid w:val="005B4C80"/>
    <w:rsid w:val="005C173F"/>
    <w:rsid w:val="005C3F6B"/>
    <w:rsid w:val="0060591C"/>
    <w:rsid w:val="00652D9F"/>
    <w:rsid w:val="006B4C67"/>
    <w:rsid w:val="006B65E6"/>
    <w:rsid w:val="006F4DC0"/>
    <w:rsid w:val="00706C8E"/>
    <w:rsid w:val="007437D2"/>
    <w:rsid w:val="00744EC7"/>
    <w:rsid w:val="00751BB2"/>
    <w:rsid w:val="0076653A"/>
    <w:rsid w:val="007835DC"/>
    <w:rsid w:val="007C55B0"/>
    <w:rsid w:val="00803882"/>
    <w:rsid w:val="00871FBE"/>
    <w:rsid w:val="00885C54"/>
    <w:rsid w:val="00887B35"/>
    <w:rsid w:val="00894445"/>
    <w:rsid w:val="008B4537"/>
    <w:rsid w:val="008D5817"/>
    <w:rsid w:val="008E65A6"/>
    <w:rsid w:val="008E6725"/>
    <w:rsid w:val="008F6022"/>
    <w:rsid w:val="0092123B"/>
    <w:rsid w:val="00994C32"/>
    <w:rsid w:val="009979CB"/>
    <w:rsid w:val="009B00CD"/>
    <w:rsid w:val="009B42CB"/>
    <w:rsid w:val="009E141B"/>
    <w:rsid w:val="00A05CC1"/>
    <w:rsid w:val="00A10906"/>
    <w:rsid w:val="00A12AC5"/>
    <w:rsid w:val="00A24014"/>
    <w:rsid w:val="00A52091"/>
    <w:rsid w:val="00A534D0"/>
    <w:rsid w:val="00A63977"/>
    <w:rsid w:val="00A730D9"/>
    <w:rsid w:val="00A86052"/>
    <w:rsid w:val="00AC6543"/>
    <w:rsid w:val="00AD1D27"/>
    <w:rsid w:val="00AD3522"/>
    <w:rsid w:val="00AE2BB3"/>
    <w:rsid w:val="00AE5D5D"/>
    <w:rsid w:val="00AF4A8E"/>
    <w:rsid w:val="00B04C83"/>
    <w:rsid w:val="00B3245F"/>
    <w:rsid w:val="00B40977"/>
    <w:rsid w:val="00B4767E"/>
    <w:rsid w:val="00B75953"/>
    <w:rsid w:val="00B80E23"/>
    <w:rsid w:val="00B870A5"/>
    <w:rsid w:val="00BB257D"/>
    <w:rsid w:val="00BE09D5"/>
    <w:rsid w:val="00C00359"/>
    <w:rsid w:val="00C60958"/>
    <w:rsid w:val="00C72F73"/>
    <w:rsid w:val="00C87D3B"/>
    <w:rsid w:val="00D017F2"/>
    <w:rsid w:val="00D308C4"/>
    <w:rsid w:val="00D35EE3"/>
    <w:rsid w:val="00D5455A"/>
    <w:rsid w:val="00D57744"/>
    <w:rsid w:val="00DC385B"/>
    <w:rsid w:val="00DF2F39"/>
    <w:rsid w:val="00E148E1"/>
    <w:rsid w:val="00E70582"/>
    <w:rsid w:val="00E86F9D"/>
    <w:rsid w:val="00ED4793"/>
    <w:rsid w:val="00EE4670"/>
    <w:rsid w:val="00EF5A63"/>
    <w:rsid w:val="00F35197"/>
    <w:rsid w:val="00F53363"/>
    <w:rsid w:val="00F537C3"/>
    <w:rsid w:val="00F74857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DE8CDA"/>
  <w15:chartTrackingRefBased/>
  <w15:docId w15:val="{D30F2198-631A-40E3-B461-9DE3A93E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A534D0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qFormat/>
    <w:rsid w:val="00A730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534D0"/>
    <w:rPr>
      <w:color w:val="0000FF"/>
      <w:u w:val="single"/>
    </w:rPr>
  </w:style>
  <w:style w:type="paragraph" w:styleId="Zkladntext2">
    <w:name w:val="Body Text 2"/>
    <w:basedOn w:val="Normln"/>
    <w:rsid w:val="00A534D0"/>
    <w:pPr>
      <w:jc w:val="both"/>
    </w:pPr>
    <w:rPr>
      <w:b/>
      <w:sz w:val="28"/>
    </w:rPr>
  </w:style>
  <w:style w:type="table" w:styleId="Mkatabulky">
    <w:name w:val="Table Grid"/>
    <w:basedOn w:val="Normlntabulka"/>
    <w:rsid w:val="00B4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730D9"/>
    <w:pPr>
      <w:spacing w:after="120"/>
    </w:pPr>
  </w:style>
  <w:style w:type="paragraph" w:customStyle="1" w:styleId="odstaveczarovnan">
    <w:name w:val="odstavec zarovnaný"/>
    <w:basedOn w:val="Normln"/>
    <w:rsid w:val="00A730D9"/>
    <w:pPr>
      <w:suppressAutoHyphens/>
      <w:spacing w:after="60" w:line="276" w:lineRule="auto"/>
      <w:jc w:val="both"/>
    </w:pPr>
    <w:rPr>
      <w:rFonts w:ascii="Arial" w:hAnsi="Arial"/>
      <w:sz w:val="22"/>
    </w:rPr>
  </w:style>
  <w:style w:type="paragraph" w:styleId="Titulek">
    <w:name w:val="caption"/>
    <w:basedOn w:val="Normln"/>
    <w:next w:val="Normln"/>
    <w:qFormat/>
    <w:rsid w:val="00B870A5"/>
    <w:rPr>
      <w:i/>
      <w:iCs/>
      <w:sz w:val="22"/>
    </w:rPr>
  </w:style>
  <w:style w:type="paragraph" w:styleId="Zkladntextodsazen">
    <w:name w:val="Body Text Indent"/>
    <w:basedOn w:val="Normln"/>
    <w:rsid w:val="00B870A5"/>
    <w:pPr>
      <w:spacing w:after="120"/>
      <w:ind w:left="283"/>
    </w:pPr>
  </w:style>
  <w:style w:type="paragraph" w:customStyle="1" w:styleId="Textdopisu">
    <w:name w:val="Text dopisu"/>
    <w:rsid w:val="00C72F73"/>
    <w:rPr>
      <w:rFonts w:ascii="Arial" w:hAnsi="Arial"/>
      <w:noProof/>
    </w:rPr>
  </w:style>
  <w:style w:type="paragraph" w:styleId="Zhlav">
    <w:name w:val="header"/>
    <w:basedOn w:val="Normln"/>
    <w:rsid w:val="00744E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4EC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52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hd@pl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hd@p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720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Labe, státní podnik</vt:lpstr>
    </vt:vector>
  </TitlesOfParts>
  <Company>Povodí Labe, státní podnik</Company>
  <LinksUpToDate>false</LinksUpToDate>
  <CharactersWithSpaces>4782</CharactersWithSpaces>
  <SharedDoc>false</SharedDoc>
  <HLinks>
    <vt:vector size="18" baseType="variant">
      <vt:variant>
        <vt:i4>131104</vt:i4>
      </vt:variant>
      <vt:variant>
        <vt:i4>6</vt:i4>
      </vt:variant>
      <vt:variant>
        <vt:i4>0</vt:i4>
      </vt:variant>
      <vt:variant>
        <vt:i4>5</vt:i4>
      </vt:variant>
      <vt:variant>
        <vt:lpwstr>mailto:vhd@pla.cz</vt:lpwstr>
      </vt:variant>
      <vt:variant>
        <vt:lpwstr/>
      </vt:variant>
      <vt:variant>
        <vt:i4>131104</vt:i4>
      </vt:variant>
      <vt:variant>
        <vt:i4>3</vt:i4>
      </vt:variant>
      <vt:variant>
        <vt:i4>0</vt:i4>
      </vt:variant>
      <vt:variant>
        <vt:i4>5</vt:i4>
      </vt:variant>
      <vt:variant>
        <vt:lpwstr>mailto:vhd@pla.cz</vt:lpwstr>
      </vt:variant>
      <vt:variant>
        <vt:lpwstr/>
      </vt:variant>
      <vt:variant>
        <vt:i4>5832722</vt:i4>
      </vt:variant>
      <vt:variant>
        <vt:i4>0</vt:i4>
      </vt:variant>
      <vt:variant>
        <vt:i4>0</vt:i4>
      </vt:variant>
      <vt:variant>
        <vt:i4>5</vt:i4>
      </vt:variant>
      <vt:variant>
        <vt:lpwstr>http://www.pla.c/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Labe, státní podnik</dc:title>
  <dc:subject/>
  <dc:creator>Tomáš Kacálek</dc:creator>
  <cp:keywords/>
  <dc:description/>
  <cp:lastModifiedBy>Ing. Jiří Petr</cp:lastModifiedBy>
  <cp:revision>12</cp:revision>
  <cp:lastPrinted>2007-12-03T12:14:00Z</cp:lastPrinted>
  <dcterms:created xsi:type="dcterms:W3CDTF">2024-01-04T07:52:00Z</dcterms:created>
  <dcterms:modified xsi:type="dcterms:W3CDTF">2024-09-13T09:49:00Z</dcterms:modified>
</cp:coreProperties>
</file>